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3075"/>
            <wp:effectExtent l="19050" t="0" r="3175" b="0"/>
            <wp:docPr id="1" name="Рисунок 1" descr="C:\Users\123\Desktop\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еш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Стратегии социально-экономического развития 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Нижнеуратьминского сельского поселения Нижнекамского муниципального района Республики Татарстан на 2016-2021 годы и на плановый период 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2030 года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0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95"/>
        <w:gridCol w:w="6945"/>
      </w:tblGrid>
      <w:tr w:rsidR="005869F4" w:rsidTr="005869F4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социально-экономического развития Нижнеуратьминского сельского поселения Нижнекамского муниципального района Республики Татарстан на 2016-2021 годы и на плановый период до 2030 года</w:t>
            </w:r>
          </w:p>
        </w:tc>
      </w:tr>
      <w:tr w:rsidR="005869F4" w:rsidTr="005869F4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Стратегия Нижнеуратьминского сельского поселения разработана в соответствии с основными положениями Федерального закона от 28 июня 2014 года №172- ФЗ «О стратегическом планировании в Российской Федерации», Закона Республики Татарстан от 16 марта 2015 года №12-ЗРТ «О стратегическом планировании в Республике Татарстан», Закона Республики Татарстан от 15 марта 2015 года №40-ЗРТ «Об утверждении Стратегии социально-экономического развития Республики Татарстан до 2030 года», Решения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 съезда муниципальных образовании Республики Татарстан от 3 марта 2016 года № 01-2264, Решения Совета Нижнекамского муниципального района от 11 ноября 2016 года №62 «Об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года».</w:t>
            </w:r>
            <w:proofErr w:type="gramEnd"/>
          </w:p>
        </w:tc>
      </w:tr>
      <w:tr w:rsidR="005869F4" w:rsidTr="005869F4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комитет Нижнеуратьминского сельского поселения НМР РТ</w:t>
            </w:r>
          </w:p>
        </w:tc>
      </w:tr>
      <w:tr w:rsidR="005869F4" w:rsidTr="005869F4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9F4" w:rsidRDefault="005869F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цель: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жизнедеятельности, формирование позитивного отношения к сельскому образу жизни;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Основными задачами являются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кадров в сельской местности;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потребностей в благоустроенном жилье населения, в том числе молодых семей и молодых специалистов;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комплексного обустройства объектами социальной и инженерной инфраструктуры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общественно значимых проектов в интересах сельских жителей с помощью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поддержки;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 по поощрению и популяризации достижений в сельском развитии муниципального района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9F4" w:rsidTr="005869F4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Важнейшие целевые индикаторы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ввод (приобретение) 4 тыс. кв. м. жилья для граждан, проживающих в сельском поселении, в том числе для молодых семей и молодых специалистов;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капитальный ремонт дошкольного учреждения;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ввод в действие 5 тыс. кв. метров  плоскостных спортивных сооружений;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реализация 5 проектов местных инициатив граждан, проживающих в сельской местности, получивших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грантовую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поддержку;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 ремонт дорожного полотна протяженностью 3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капитальный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водоисточника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 новой скважины водозабора</w:t>
            </w:r>
          </w:p>
        </w:tc>
      </w:tr>
      <w:tr w:rsidR="005869F4" w:rsidTr="005869F4">
        <w:trPr>
          <w:trHeight w:val="570"/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 реализации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определена на 6 лет (2016-2021 годы) и определяет дальнейший вектор развития района до 2030 года. Таким образом, выделяются два этапа реализации: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1-й этап – до 2021 года;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этап – до 2030 года</w:t>
            </w:r>
          </w:p>
        </w:tc>
      </w:tr>
      <w:tr w:rsidR="005869F4" w:rsidTr="005869F4">
        <w:trPr>
          <w:trHeight w:val="421"/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Стратегии осуществляется из бюджетов различных уровней, внебюджетных и спонсорских средств</w:t>
            </w:r>
          </w:p>
        </w:tc>
      </w:tr>
      <w:tr w:rsidR="005869F4" w:rsidTr="005869F4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и показатели социально-экономической эффективности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улучшение жилищных условий 5  сельских семей, в том числе молодых семей и молодых специалистов; 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сооружений, на 10%;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инженерного обустройства населенных пунктов, расположенных в сельской местности: водой (летние водопроводы) –  на 10;</w:t>
            </w:r>
          </w:p>
          <w:p w:rsidR="005869F4" w:rsidRDefault="005869F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гражданской активности и участия граждан, проживающих в сельской местности в реализации общественно значимых проектов путем поддержки 5 проектов местных инициатив (гранты)</w:t>
            </w:r>
          </w:p>
        </w:tc>
      </w:tr>
    </w:tbl>
    <w:p w:rsidR="005869F4" w:rsidRDefault="005869F4" w:rsidP="005869F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tabs>
          <w:tab w:val="left" w:pos="73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Характеристика проблемы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 Общие сведения о сельском поселении 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1"/>
        <w:spacing w:before="0" w:after="0" w:line="240" w:lineRule="auto"/>
        <w:ind w:firstLine="567"/>
        <w:contextualSpacing/>
        <w:rPr>
          <w:rFonts w:ascii="Times New Roman" w:eastAsia="Calibri" w:hAnsi="Times New Roman"/>
          <w:b w:val="0"/>
          <w:sz w:val="28"/>
          <w:szCs w:val="28"/>
        </w:rPr>
      </w:pPr>
      <w:bookmarkStart w:id="0" w:name="_Toc337647102"/>
      <w:r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В результате реформы местного самоуправления в 2005 году </w:t>
      </w:r>
      <w:proofErr w:type="spellStart"/>
      <w:r>
        <w:rPr>
          <w:rFonts w:ascii="Times New Roman" w:eastAsia="Calibri" w:hAnsi="Times New Roman"/>
          <w:b w:val="0"/>
          <w:sz w:val="28"/>
          <w:szCs w:val="28"/>
        </w:rPr>
        <w:t>Нижнеуратьминское</w:t>
      </w:r>
      <w:proofErr w:type="spellEnd"/>
      <w:r>
        <w:rPr>
          <w:rFonts w:ascii="Times New Roman" w:eastAsia="Calibri" w:hAnsi="Times New Roman"/>
          <w:b w:val="0"/>
          <w:sz w:val="28"/>
          <w:szCs w:val="28"/>
        </w:rPr>
        <w:t xml:space="preserve"> сельское поселение было наделено статусом муниципального образования в составе Нижнекамского муниципального района Республики Татарстан. </w:t>
      </w:r>
    </w:p>
    <w:p w:rsidR="005869F4" w:rsidRDefault="005869F4" w:rsidP="005869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центр – село </w:t>
      </w:r>
      <w:proofErr w:type="gramStart"/>
      <w:r>
        <w:rPr>
          <w:rFonts w:ascii="Times New Roman" w:hAnsi="Times New Roman"/>
          <w:sz w:val="28"/>
          <w:szCs w:val="28"/>
        </w:rPr>
        <w:t>Нижняя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. Достоверного срока основания села  нет, но из разных источников и воспоминаниям старожилов считается время основания середина 18 века. Название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перводится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 татарского как «извилистая». Название дано от речки </w:t>
      </w:r>
      <w:proofErr w:type="gramStart"/>
      <w:r>
        <w:rPr>
          <w:rFonts w:ascii="Times New Roman" w:hAnsi="Times New Roman"/>
          <w:sz w:val="28"/>
          <w:szCs w:val="28"/>
        </w:rPr>
        <w:t>извилистая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Уратма</w:t>
      </w:r>
      <w:proofErr w:type="spellEnd"/>
      <w:r>
        <w:rPr>
          <w:rFonts w:ascii="Times New Roman" w:hAnsi="Times New Roman"/>
          <w:sz w:val="28"/>
          <w:szCs w:val="28"/>
        </w:rPr>
        <w:t xml:space="preserve">». Из исторических памятников имеется мечеть 1860-70годов постройки и церковь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Шакшино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1903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постройки.</w:t>
      </w:r>
    </w:p>
    <w:p w:rsidR="005869F4" w:rsidRDefault="005869F4" w:rsidP="005869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Нижнеуратьминского сельского поселения входят: село Нижняя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Шакшино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Николаевка. </w:t>
      </w:r>
      <w:bookmarkStart w:id="1" w:name="_Toc337647103"/>
      <w:bookmarkEnd w:id="0"/>
      <w:r>
        <w:rPr>
          <w:rFonts w:ascii="Times New Roman" w:hAnsi="Times New Roman"/>
          <w:sz w:val="28"/>
          <w:szCs w:val="28"/>
        </w:rPr>
        <w:t>Общая площадь Нижнеуратьминского сельского поселения составляет 11836 га, в т.ч. площадь населенных пунктов 98,4 га, из них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ижняя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 –72,6га, с. </w:t>
      </w:r>
      <w:proofErr w:type="spellStart"/>
      <w:r>
        <w:rPr>
          <w:rFonts w:ascii="Times New Roman" w:hAnsi="Times New Roman"/>
          <w:sz w:val="28"/>
          <w:szCs w:val="28"/>
        </w:rPr>
        <w:t>Шакшино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23,8 га, дер. Николаевка-  2,0  га. Общая площадь сельскохозяйственных угодий – 5682,9 га, в том числе пашня –4377,3га, сенокосы  и пастбища занимают 1305,6 га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bookmarkEnd w:id="1"/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граничит с </w:t>
      </w:r>
      <w:proofErr w:type="spellStart"/>
      <w:r>
        <w:rPr>
          <w:rFonts w:ascii="Times New Roman" w:hAnsi="Times New Roman"/>
          <w:sz w:val="28"/>
          <w:szCs w:val="28"/>
        </w:rPr>
        <w:t>Макаровским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Шереметьевским, </w:t>
      </w:r>
      <w:proofErr w:type="spellStart"/>
      <w:r>
        <w:rPr>
          <w:rFonts w:ascii="Times New Roman" w:hAnsi="Times New Roman"/>
          <w:sz w:val="28"/>
          <w:szCs w:val="28"/>
        </w:rPr>
        <w:t>Майскогорскими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сельскими поселениями Нижнекамского муниципального района,  а так же </w:t>
      </w:r>
      <w:proofErr w:type="spellStart"/>
      <w:r>
        <w:rPr>
          <w:rFonts w:ascii="Times New Roman" w:hAnsi="Times New Roman"/>
          <w:sz w:val="28"/>
          <w:szCs w:val="28"/>
        </w:rPr>
        <w:t>Заинским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районом. Земли Нижнеуратьминского сельского поселения плодородны и богаты залежами нефти. </w:t>
      </w:r>
    </w:p>
    <w:p w:rsidR="005869F4" w:rsidRDefault="005869F4" w:rsidP="005869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Нижнеуратьминского сельское поселение располагает благоприятными условиями для развития туристической отрасли, а также сельскохозяйственного производства. Одним из больших приоритетов развития сельского поселения является село </w:t>
      </w:r>
      <w:proofErr w:type="gramStart"/>
      <w:r>
        <w:rPr>
          <w:rFonts w:ascii="Times New Roman" w:hAnsi="Times New Roman"/>
          <w:sz w:val="28"/>
          <w:szCs w:val="28"/>
        </w:rPr>
        <w:t>Нижняя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. Природно-ресурсный потенциал села безграничен. Плодородные земли созданы для развития фруктовых садов: яблонь, груш, слив, малины, вишни и т.д. На просторных лугах и в чащи леса имеется возможность по сбору лекарственных трав: душицы, мелисы, зверобоя, толокнянки, бессмертник песчаный и т.д. Одним словом, естественная здравница для отдыха и поправки здоровья. </w:t>
      </w:r>
    </w:p>
    <w:p w:rsidR="005869F4" w:rsidRDefault="005869F4" w:rsidP="005869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благоустроенные родники.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связь Нижнеуратьминского сельского поселения представлена автомобильными дорогами регионального и местного значения.  Важнейшей, как для всего Нижнекамского района, так и Нижнеуратьминского сельского поселения, транспортной коммуникацией является автодорога межмуниципального значения «Благодатная - Нижнекамск».  Поселение расположено в непосредственной близости от п.г.т. Камские Поляны – центра концентрации промышленного производства всего района, где расположен Индустриальный парк «Камские Поляны» и предприятия местной промышленности.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 Социально-экономическое развитие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Численность сельского населения по состоянию на 01.01.2017 составила 839 человек, из них трудоспособного сельского населения – 51,6% или 435 человек.</w:t>
      </w:r>
    </w:p>
    <w:p w:rsidR="005869F4" w:rsidRDefault="005869F4" w:rsidP="005869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Динамика изменения численности населения 2012-2016 гг.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1376"/>
        <w:gridCol w:w="1376"/>
        <w:gridCol w:w="1376"/>
        <w:gridCol w:w="1376"/>
        <w:gridCol w:w="1376"/>
      </w:tblGrid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1003                  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</w:tr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Родилось,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869F4" w:rsidTr="005869F4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Естественная убыль,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5869F4" w:rsidTr="005869F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Механический прирост (убыль)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</w:tbl>
    <w:p w:rsidR="005869F4" w:rsidRDefault="005869F4" w:rsidP="005869F4">
      <w:pPr>
        <w:pStyle w:val="a4"/>
        <w:jc w:val="both"/>
        <w:rPr>
          <w:rFonts w:ascii="Times New Roman" w:hAnsi="Times New Roman"/>
          <w:i/>
          <w:color w:val="C0504D"/>
          <w:sz w:val="28"/>
          <w:szCs w:val="28"/>
        </w:rPr>
      </w:pPr>
      <w:r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демографической ситуации Нижнеуратьминского сельского поселения характеризует умеренные тенденции развития: численность населения за пятилетний период </w:t>
      </w:r>
      <w:proofErr w:type="spellStart"/>
      <w:r>
        <w:rPr>
          <w:rFonts w:ascii="Times New Roman" w:hAnsi="Times New Roman"/>
          <w:sz w:val="28"/>
          <w:szCs w:val="28"/>
        </w:rPr>
        <w:t>уменщилась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 9%, ежегодная рождаемость </w:t>
      </w:r>
      <w:proofErr w:type="gramStart"/>
      <w:r>
        <w:rPr>
          <w:rFonts w:ascii="Times New Roman" w:hAnsi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покрывает смертность.  </w:t>
      </w:r>
      <w:proofErr w:type="gramStart"/>
      <w:r>
        <w:rPr>
          <w:rFonts w:ascii="Times New Roman" w:hAnsi="Times New Roman"/>
          <w:sz w:val="28"/>
          <w:szCs w:val="28"/>
        </w:rPr>
        <w:t>Особое влияние на  численность населения трудоспособного возраста оказывает отток молодежи в другие города и районы, ежегодная убыль населения составляет 3,5-5,2% от общей численности населения, количество прибывших вместе с тем, снижается в среднем на 2% ежегодно.</w:t>
      </w:r>
      <w:proofErr w:type="gramEnd"/>
    </w:p>
    <w:p w:rsidR="005869F4" w:rsidRDefault="005869F4" w:rsidP="005869F4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успешной реализации программы модернизации здравоохранения, ожидается замедление темпов естественной убыли населения за счет увеличения рождаемости и уменьшения смертности населения района. Вместе с тем, необходимо поддержание демографического роста путем пересмотра системы социальных услуг и создания условий для остановки оттока трудоспособного населения. 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Нижняя </w:t>
      </w:r>
      <w:proofErr w:type="spellStart"/>
      <w:r>
        <w:rPr>
          <w:rFonts w:ascii="Times New Roman" w:hAnsi="Times New Roman"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sz w:val="28"/>
          <w:szCs w:val="28"/>
        </w:rPr>
        <w:t xml:space="preserve">  имеется общеобразовательная средняя школа, детский сад, Дом Культуры, библиотека, фельдшерско-акушерский пункт, отделение почтовой связи и филиал ПАО «Сбербанк России».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Сведения об образовательной сфере 2012-2016 гг.</w:t>
      </w:r>
    </w:p>
    <w:p w:rsidR="005869F4" w:rsidRDefault="005869F4" w:rsidP="005869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900"/>
        <w:gridCol w:w="900"/>
        <w:gridCol w:w="900"/>
        <w:gridCol w:w="900"/>
        <w:gridCol w:w="910"/>
      </w:tblGrid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Нижнеуратьминская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ДОУ «Детский сад «Ландыш»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выпускников средней школы в общей численности 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Выпускников 9 класса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Выпускников 11 класса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  в школах Поселения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869F4" w:rsidTr="005869F4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средне специальным образованием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869F4" w:rsidRDefault="005869F4" w:rsidP="005869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869F4" w:rsidRDefault="005869F4" w:rsidP="00586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Образование лежит в основе развития экономики, где важную роль играет привлечение новых, молодых специалистов. Повышение качества образовательных услуг, модернизация муниципальной системы образования будут способствовать духовно-нравственному, физическому развитию учащихся, формированию у них ответственной жизненной позиции. </w:t>
      </w:r>
    </w:p>
    <w:p w:rsidR="005869F4" w:rsidRDefault="005869F4" w:rsidP="00586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в Поселении представлена Домом Культуры, капитальный ремонт которого ожидается в 2019-2020 годах.  Количество сотрудников Дома Культуры - 5 человека, библиотека - 1 человек.</w:t>
      </w:r>
    </w:p>
    <w:p w:rsidR="005869F4" w:rsidRDefault="005869F4" w:rsidP="005869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муниципальной политики в сфере здравоохранения является повышение качества и доступности медицинских услуг, обеспечивающее снижение уровня заболеваемости жителей и увеличение продолжительности жизни, уменьшение детской и общей заболеваемости, снижение смертности людей трудоспособного возраста от управляемых причин, пропаганда здорового образа жизни.</w:t>
      </w:r>
    </w:p>
    <w:p w:rsidR="005869F4" w:rsidRDefault="005869F4" w:rsidP="00586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находятся  ФАП  с численностью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2 человека, которые оказывают первую медицинскую помощь.</w:t>
      </w:r>
    </w:p>
    <w:p w:rsidR="005869F4" w:rsidRDefault="005869F4" w:rsidP="005869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3. Сведения об учреждении здравоохранения 2012-2016 гг.</w:t>
      </w:r>
    </w:p>
    <w:p w:rsidR="005869F4" w:rsidRDefault="005869F4" w:rsidP="005869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7"/>
        <w:gridCol w:w="1074"/>
        <w:gridCol w:w="1074"/>
        <w:gridCol w:w="1074"/>
        <w:gridCol w:w="1186"/>
        <w:gridCol w:w="1046"/>
      </w:tblGrid>
      <w:tr w:rsidR="005869F4" w:rsidTr="005869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869F4" w:rsidTr="005869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медицинских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</w:tr>
      <w:tr w:rsidR="005869F4" w:rsidTr="005869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врачебных 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869F4" w:rsidTr="005869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869F4" w:rsidTr="005869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869F4" w:rsidRDefault="005869F4" w:rsidP="005869F4">
      <w:pPr>
        <w:pStyle w:val="a4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наиболее важных показателей, обеспечивающих высокий уровень качества жизни, являются доходы граждан.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источником доходов по-прежнему остается оплата труда. </w:t>
      </w:r>
      <w:r>
        <w:rPr>
          <w:rFonts w:ascii="Times New Roman" w:hAnsi="Times New Roman"/>
          <w:sz w:val="28"/>
          <w:szCs w:val="28"/>
        </w:rPr>
        <w:t xml:space="preserve">В 2016 году среднемесячная </w:t>
      </w:r>
      <w:r>
        <w:rPr>
          <w:rFonts w:ascii="Times New Roman" w:hAnsi="Times New Roman"/>
          <w:sz w:val="28"/>
          <w:szCs w:val="28"/>
        </w:rPr>
        <w:lastRenderedPageBreak/>
        <w:t xml:space="preserve">заработная плата по поселению составила 14 516,96 руб., что выше уровня 2015 года на 0,04%. 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сотрудников за 2016 год составила 20 человек, и в соответствии со среднесрочным прогнозом данный показатель к 2021 году сохраняется в районе 15 008,35 рублей.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4. Уровень заработной платы и среднесписочная численность работников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2012-2016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1330"/>
        <w:gridCol w:w="1385"/>
        <w:gridCol w:w="1385"/>
        <w:gridCol w:w="1385"/>
        <w:gridCol w:w="1385"/>
      </w:tblGrid>
      <w:tr w:rsidR="005869F4" w:rsidTr="005869F4">
        <w:trPr>
          <w:trHeight w:val="853"/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5869F4" w:rsidTr="005869F4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численность, человек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5869F4" w:rsidTr="005869F4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в рублях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14772,22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14670,63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15135,27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15150,40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15332,21</w:t>
            </w:r>
          </w:p>
        </w:tc>
      </w:tr>
    </w:tbl>
    <w:p w:rsidR="005869F4" w:rsidRDefault="005869F4" w:rsidP="005869F4">
      <w:pPr>
        <w:pStyle w:val="a4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Показатели агропромышленной деятельности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Сельскохозяйственная отрасль представлена одной сельскохозяйственной организацией и четырьмя крестьянскими (фермерскими) хозяйствами, а также 434 личных подсобных хозяйств.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Устойчивое развитие агропромышленного комплекса зависит от эффективной работы малых форм хозяйствования. </w:t>
      </w:r>
      <w:r>
        <w:rPr>
          <w:rFonts w:eastAsia="Calibri"/>
          <w:sz w:val="28"/>
          <w:szCs w:val="28"/>
          <w:lang w:eastAsia="en-US"/>
        </w:rPr>
        <w:t>Основным (преобладающим) производственным направлением хозяйственной деятельности на территории  является производство сельскохозяйственной продукции сельскохозяйственными организациями.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ООО «</w:t>
      </w:r>
      <w:proofErr w:type="spellStart"/>
      <w:r>
        <w:rPr>
          <w:rFonts w:eastAsia="Calibri"/>
          <w:sz w:val="28"/>
          <w:szCs w:val="28"/>
          <w:lang w:eastAsia="en-US"/>
        </w:rPr>
        <w:t>Союз-Агро</w:t>
      </w:r>
      <w:proofErr w:type="spellEnd"/>
      <w:r>
        <w:rPr>
          <w:rFonts w:eastAsia="Calibri"/>
          <w:sz w:val="28"/>
          <w:szCs w:val="28"/>
          <w:lang w:eastAsia="en-US"/>
        </w:rPr>
        <w:t>» - специализация направлена на молочно-мясное животноводство, зерновое растениеводство, производство кормов для животных: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- 1397га производство кормовых культур; 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-2980 га под зерновыми культурами.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Ежегодно сельскохозяйственным товаропроизводителем производится: 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-зерновые культуры (пшеница, ячмень, овес, горох, вика, рапс) – 7300 </w:t>
      </w:r>
      <w:proofErr w:type="spellStart"/>
      <w:r>
        <w:rPr>
          <w:rFonts w:eastAsia="Calibri"/>
          <w:sz w:val="28"/>
          <w:szCs w:val="28"/>
          <w:lang w:eastAsia="en-US"/>
        </w:rPr>
        <w:t>тн</w:t>
      </w:r>
      <w:proofErr w:type="spellEnd"/>
      <w:r>
        <w:rPr>
          <w:rFonts w:eastAsia="Calibri"/>
          <w:sz w:val="28"/>
          <w:szCs w:val="28"/>
          <w:lang w:eastAsia="en-US"/>
        </w:rPr>
        <w:t>.;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-кормовые культуры (кукуруза) – 20 000 </w:t>
      </w:r>
      <w:proofErr w:type="spellStart"/>
      <w:r>
        <w:rPr>
          <w:rFonts w:eastAsia="Calibri"/>
          <w:sz w:val="28"/>
          <w:szCs w:val="28"/>
          <w:lang w:eastAsia="en-US"/>
        </w:rPr>
        <w:t>тн</w:t>
      </w:r>
      <w:proofErr w:type="spellEnd"/>
      <w:r>
        <w:rPr>
          <w:rFonts w:eastAsia="Calibri"/>
          <w:sz w:val="28"/>
          <w:szCs w:val="28"/>
          <w:lang w:eastAsia="en-US"/>
        </w:rPr>
        <w:t>.;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-многолетние травы.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Оказываемая Государственная поддержка бюджетов разных уровней в виде гранта начинающим фермерам, гранта на развитие семейных животноводческих ферм дает возможность крестьянским (фермерским) хозяйствам (КФХ) и потребительским сельскохозяйственным кооперативам, </w:t>
      </w:r>
      <w:r>
        <w:rPr>
          <w:rFonts w:eastAsia="Calibri"/>
          <w:sz w:val="28"/>
          <w:szCs w:val="28"/>
          <w:lang w:eastAsia="en-US"/>
        </w:rPr>
        <w:lastRenderedPageBreak/>
        <w:t xml:space="preserve">успешно развиваться, среди них КФХ </w:t>
      </w:r>
      <w:proofErr w:type="spellStart"/>
      <w:r>
        <w:rPr>
          <w:rFonts w:eastAsia="Calibri"/>
          <w:sz w:val="28"/>
          <w:szCs w:val="28"/>
          <w:lang w:eastAsia="en-US"/>
        </w:rPr>
        <w:t>Амерханов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Ш.Ф – откорм КРС, </w:t>
      </w:r>
      <w:proofErr w:type="spellStart"/>
      <w:r>
        <w:rPr>
          <w:rFonts w:eastAsia="Calibri"/>
          <w:sz w:val="28"/>
          <w:szCs w:val="28"/>
          <w:lang w:eastAsia="en-US"/>
        </w:rPr>
        <w:t>Хайруллина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Л.И.-молочное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стадо, Шестаков Ю.Н. –откорм свиней, </w:t>
      </w:r>
      <w:proofErr w:type="spellStart"/>
      <w:r>
        <w:rPr>
          <w:rFonts w:eastAsia="Calibri"/>
          <w:sz w:val="28"/>
          <w:szCs w:val="28"/>
          <w:lang w:eastAsia="en-US"/>
        </w:rPr>
        <w:t>Абзалов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С.Г. –молочное стадо.</w:t>
      </w:r>
      <w:proofErr w:type="gramEnd"/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Растениеводством занимаются также граждане в личных подсобных хозяйствах, которые ежегодно подбирают новые сорта овощных культур, пригодные для климата, данный ассортимент насчитывает более 10 видов разнообразных овощей: от картофеля и капусты до перца.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Прогнозируя темпы производства на период 2017 – 2020 годов, ожидается увеличение производства: за счет открытия гражданами КФХ.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Таблица 5. Показатели скота и </w:t>
      </w:r>
      <w:proofErr w:type="gramStart"/>
      <w:r>
        <w:rPr>
          <w:rFonts w:eastAsia="Calibri"/>
          <w:b/>
          <w:lang w:eastAsia="en-US"/>
        </w:rPr>
        <w:t>птицы</w:t>
      </w:r>
      <w:proofErr w:type="gramEnd"/>
      <w:r>
        <w:rPr>
          <w:rFonts w:eastAsia="Calibri"/>
          <w:b/>
          <w:lang w:eastAsia="en-US"/>
        </w:rPr>
        <w:t xml:space="preserve">  личных подворьях граждан: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2540"/>
        <w:gridCol w:w="2540"/>
        <w:gridCol w:w="2541"/>
      </w:tblGrid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2014 г.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2015 г.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2016 г.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326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коров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Свиней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Лошадей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Овец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246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Коз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Птицы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3317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2662</w:t>
            </w:r>
          </w:p>
        </w:tc>
      </w:tr>
      <w:tr w:rsidR="005869F4" w:rsidTr="005869F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Пчелосемей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413</w:t>
            </w:r>
          </w:p>
        </w:tc>
      </w:tr>
    </w:tbl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Обоснование необходимости реализации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Сельские территории  обладают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препятствует его переходу к динамичному устойчивому развитию. 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Сложившаяся за годы реформ социальная ситуация,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Ухудшается и демографическая ситуация на селе. Естественная убыль сельского населения увеличивается, снижается продолжительность жизни. Преобладание в структуре сельского населения пожилых людей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lastRenderedPageBreak/>
        <w:t>Нижнеуратьминское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rFonts w:eastAsia="Calibri"/>
          <w:sz w:val="28"/>
          <w:szCs w:val="28"/>
          <w:lang w:eastAsia="en-US"/>
        </w:rPr>
        <w:t>является динамично развивающейся территорией, которая обладает большим ресурсным и инвестиционным потенциалом, в том числе и в сфере агропромышленного комплекса и, безусловно, данный потенциал необходимо подкреплять человеческими ресурсами, способствовать закреплению граждан в сельской местности.</w:t>
      </w:r>
    </w:p>
    <w:p w:rsidR="005869F4" w:rsidRDefault="005869F4" w:rsidP="005869F4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успешного решения задач по наращиванию экономического потенциала аграрного сектора и реализации программных мероприятий требуется осуществление системного подхода, важнейшей частью которого является осуществление мер по повышению уровня и качества жизни в селе, преодоление дефицита специалистов и квалифицированных рабочих в сельском хозяйстве. Системный подход включает реализацию мероприятий, направленных на улучшение жилищных условий граждан, проживающих и работающих в сельской местности, в том числе молодых семей и молодых специалистов. Целью мероприятий по улучшению жилищных условий граждан, проживающих в сельской местности, в том числе молодых семей и молодых специалистов, являются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производственный и социальный потенциал КФХ, ЛПХ и других малых форм хозяйствования используется недостаточно эффективно. </w:t>
      </w:r>
      <w:proofErr w:type="gramStart"/>
      <w:r>
        <w:rPr>
          <w:rFonts w:ascii="Times New Roman" w:hAnsi="Times New Roman"/>
          <w:sz w:val="28"/>
          <w:szCs w:val="28"/>
        </w:rPr>
        <w:t>Владельцы КФХ, ЛПХ, сельские предприниматели испытывают дефицит финансово-кредитных ресурсов, агрономических, ветеринарных и зоотехнических услуг,  недостаточное снабжение качественным семенным материалом, элитным скотом, кормами, удобрениями и ядохимикатами, не налажена эффективная  система сбыта продукции, дефицит информации о рыночной конъюнктуре, невозможность влиять на цены из-за малых партий продаваемой продукции, недостаток мощностей для хранения, предпродажной подготовки, доработки, переработки и фасовки продукции, что приводит к ее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по низким ценам и др.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республиканском и местном уровнях.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метод позволяет </w:t>
      </w:r>
      <w:proofErr w:type="spellStart"/>
      <w:r>
        <w:rPr>
          <w:rFonts w:ascii="Times New Roman" w:hAnsi="Times New Roman"/>
          <w:sz w:val="28"/>
          <w:szCs w:val="28"/>
        </w:rPr>
        <w:t>взаимоувязать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Стратегии, исполнителей, сроки, объемы и источники финансирования,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мероприятий Стратегии и ожидаемые результаты.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Показателем результативности использования программно-целевого подхода являются позитивные изменения в решении вопросов улучшения жилищных условий граждан, проживающих в сельской местности, в том числе молодых семей и молодых специалистов.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долгосрочным характером социальных проблем сельских территорий, требующим системного подхода к их решению;</w:t>
      </w:r>
    </w:p>
    <w:p w:rsidR="005869F4" w:rsidRDefault="005869F4" w:rsidP="005869F4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высоким уровнем </w:t>
      </w:r>
      <w:proofErr w:type="spellStart"/>
      <w:r>
        <w:rPr>
          <w:rFonts w:ascii="Times New Roman" w:hAnsi="Times New Roman"/>
          <w:sz w:val="28"/>
          <w:szCs w:val="28"/>
        </w:rPr>
        <w:t>затратности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накопившихся проблем села, требующим привлечения  средств государственной поддержки.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устойчивое развитие сельских территорий отнесено к числу приоритетных направлений.</w:t>
      </w:r>
    </w:p>
    <w:p w:rsidR="005869F4" w:rsidRDefault="005869F4" w:rsidP="005869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Мероприятия Стратегии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Стратегии включены следующие мероприятия: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6538"/>
        <w:gridCol w:w="2505"/>
      </w:tblGrid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(год)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КФХ и производства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 свиней и реализация мясной продукции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Разведение бычков (молодняк КРС)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«Ландыш»,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2017-2030, согласно Республиканской программе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котлов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котельный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ДК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объекты и детские площадки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Нижняяя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Ремонт дорог в границах населенных пунктов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дорог в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самообложения граждан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color w:val="C0504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Водообеспечение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населенных пунктов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 сетей водопровода в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Уличное освещение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светильников и 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СИПа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пределах установленных лимитов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Благоустройство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родников в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родников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Шакшино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 детской оздоровительной площадки на территории Дома культуры в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Уратьма</w:t>
            </w:r>
            <w:proofErr w:type="spellEnd"/>
          </w:p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посадка деревьев и благоустройство территории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2017-2019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обелиска землякам, павшим в годы Великой Отечественной войны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2017-2021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пожарного  инвентаря и обмундирование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5869F4" w:rsidTr="005869F4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Новогодней Елки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Сабантуй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5869F4" w:rsidTr="005869F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F4" w:rsidRDefault="005869F4" w:rsidP="008E26C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семинары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Механизм реализации Стратегии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Стратегии: Исполнительный комитет Нижнеуратьминского сельского поселения НМР РТ.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обеспечивают: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  Стратегии;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устойчивого развития сельских территорий;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бюджетных заявок на финансирование мероприятий Стратегии;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реализации Стратегии;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обоснований для отбора первоочередных работ, финансируемых в рамках реализации Стратегии в отчетном году.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реализуются в порядке и на условиях, утверждаемых нормативными правовыми актами администрации района, муниципальными нормативными правовыми актами.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последовательной реализации мероприятий проводится их ежегодная корректировка с  рассмотрением итогов.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Координатором реализации  является отдел сельского хозяйства, который ежеквартально совместно с исполнителями программы формирует </w:t>
      </w:r>
      <w:r>
        <w:rPr>
          <w:rFonts w:ascii="Times New Roman" w:hAnsi="Times New Roman"/>
          <w:sz w:val="28"/>
          <w:szCs w:val="28"/>
        </w:rPr>
        <w:lastRenderedPageBreak/>
        <w:t>отчет и информацию о реализации настоящей Стратегии в установленном порядке.</w:t>
      </w:r>
    </w:p>
    <w:p w:rsidR="005869F4" w:rsidRDefault="005869F4" w:rsidP="005869F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Информация о финансовом обеспечении </w:t>
      </w:r>
    </w:p>
    <w:p w:rsidR="005869F4" w:rsidRDefault="005869F4" w:rsidP="005869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осуществляется из бюджетов различных уровней, внебюджетных средств,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едприятий и организаций, населения.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реализацию отдельных стратегических мероприятий предусматриваются финансовые средства в пределах бюджетных ассигнований по различным отраслям городского хозяйства.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мероприятий за счет средств местного бюджета осуществлять в пределах утвержденного бюджета на соответствующий год, выделение дополнительных средств возможно лишь при наличии в бюджете источников дополнительных доходов с учетом покрытия дефицита и принятых обязательств.</w:t>
      </w:r>
    </w:p>
    <w:p w:rsidR="005869F4" w:rsidRDefault="005869F4" w:rsidP="005869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 Целевые индикаторы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tbl>
      <w:tblPr>
        <w:tblW w:w="10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473"/>
        <w:gridCol w:w="1482"/>
        <w:gridCol w:w="1208"/>
        <w:gridCol w:w="1208"/>
        <w:gridCol w:w="1208"/>
        <w:gridCol w:w="1208"/>
        <w:gridCol w:w="1208"/>
      </w:tblGrid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ind w:right="-53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Индикатор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Единица измерения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2021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Общие показатели социально-экономического развития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Численность населения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846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840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работающих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84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Среднемесячная заработная плата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рублей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15332,21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15339,07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15708,66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15903,52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15903,52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Количество обучающихся в </w:t>
            </w:r>
            <w:proofErr w:type="spellStart"/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общеобразова-тельных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и дошкольных учреждениях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77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68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74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79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70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1,5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Количество детей в дошкольных учреждениях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12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Улучшение жилищных условий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сельских семей, признанных нуждающимися в улучшении жилищных условий (на конец года)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семей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Ввод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(приобретение) жилья для граждан, проживающих в сельских поселениях – всего, в том числе молодых семей и молодых специалистов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тыс. кв. м.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3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Обеспеченность учреждениями 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Наличие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ФАПов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плоскостных спортивных сооружений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Наличие учреждений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культурно-досугового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типа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детских садов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образовательных учреждений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Реализация проектов местных инициатив граждан (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грантовая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поддержка)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  реализованных проектов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Число жителей, принявших участие в реализации проектов  местных инициатив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Коммунальная и инженерная инфраструктура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Протяженность введенных дорог или капитально-отремонтированных дорог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0,2</w:t>
            </w:r>
          </w:p>
        </w:tc>
      </w:tr>
      <w:tr w:rsidR="005869F4" w:rsidTr="005869F4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Водоснабжение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F4" w:rsidRDefault="005869F4">
            <w:pPr>
              <w:pStyle w:val="a4"/>
              <w:jc w:val="both"/>
              <w:rPr>
                <w:rFonts w:ascii="Times New Roman" w:hAnsi="Times New Roman"/>
                <w:i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строительство новых сетей  водопровода.</w:t>
            </w:r>
          </w:p>
        </w:tc>
      </w:tr>
    </w:tbl>
    <w:p w:rsidR="005869F4" w:rsidRDefault="005869F4" w:rsidP="005869F4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5869F4" w:rsidRDefault="005869F4" w:rsidP="005869F4">
      <w:pPr>
        <w:pStyle w:val="a4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</w:t>
      </w:r>
      <w:r>
        <w:rPr>
          <w:rFonts w:ascii="Times New Roman" w:hAnsi="Times New Roman"/>
          <w:sz w:val="28"/>
          <w:szCs w:val="28"/>
        </w:rPr>
        <w:lastRenderedPageBreak/>
        <w:t xml:space="preserve">расширению налогооблагаемой базы местных бюджетов и обеспечению роста сельской экономики в целом. 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5869F4" w:rsidRDefault="005869F4" w:rsidP="005869F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Стратегии производится путем сравнения фактически достигнутых значений целевых индикаторов (показателей) за соответствующий год с утвержденными на год значениями целевых индикаторов (показателей).</w:t>
      </w:r>
    </w:p>
    <w:p w:rsidR="00402D81" w:rsidRDefault="00402D81"/>
    <w:sectPr w:rsidR="00402D81" w:rsidSect="0040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9F4"/>
    <w:rsid w:val="00402D81"/>
    <w:rsid w:val="005869F4"/>
    <w:rsid w:val="0087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69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9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586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69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69F4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869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69F4"/>
    <w:pPr>
      <w:ind w:left="720"/>
      <w:contextualSpacing/>
    </w:pPr>
  </w:style>
  <w:style w:type="paragraph" w:customStyle="1" w:styleId="rtejustify">
    <w:name w:val="rtejustify"/>
    <w:basedOn w:val="a"/>
    <w:uiPriority w:val="99"/>
    <w:rsid w:val="00586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3520</Words>
  <Characters>20069</Characters>
  <Application>Microsoft Office Word</Application>
  <DocSecurity>0</DocSecurity>
  <Lines>167</Lines>
  <Paragraphs>47</Paragraphs>
  <ScaleCrop>false</ScaleCrop>
  <Company/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2017-11-13T06:22:00Z</dcterms:created>
  <dcterms:modified xsi:type="dcterms:W3CDTF">2017-11-13T06:23:00Z</dcterms:modified>
</cp:coreProperties>
</file>